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51CF" w:rsidRDefault="00BA597D">
      <w:pPr>
        <w:spacing w:after="0"/>
        <w:jc w:val="center"/>
        <w:rPr>
          <w:rFonts w:ascii="Franklin Gothic Book" w:hAnsi="Franklin Gothic Book"/>
          <w:b/>
          <w:color w:val="000040"/>
          <w:sz w:val="40"/>
          <w:szCs w:val="40"/>
        </w:rPr>
      </w:pPr>
      <w:r>
        <w:rPr>
          <w:rFonts w:ascii="Franklin Gothic Book" w:hAnsi="Franklin Gothic Book"/>
          <w:b/>
          <w:noProof/>
          <w:color w:val="000040"/>
          <w:sz w:val="40"/>
          <w:szCs w:val="40"/>
          <w:lang w:eastAsia="fr-CH"/>
        </w:rPr>
        <w:drawing>
          <wp:anchor distT="0" distB="0" distL="114300" distR="114300" simplePos="0" relativeHeight="251658240" behindDoc="0" locked="0" layoutInCell="1" allowOverlap="1">
            <wp:simplePos x="0" y="0"/>
            <wp:positionH relativeFrom="column">
              <wp:posOffset>2605405</wp:posOffset>
            </wp:positionH>
            <wp:positionV relativeFrom="paragraph">
              <wp:posOffset>-4445</wp:posOffset>
            </wp:positionV>
            <wp:extent cx="556890" cy="68580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sans arrière plan.png"/>
                    <pic:cNvPicPr/>
                  </pic:nvPicPr>
                  <pic:blipFill>
                    <a:blip r:embed="rId5">
                      <a:extLst>
                        <a:ext uri="{28A0092B-C50C-407E-A947-70E740481C1C}">
                          <a14:useLocalDpi xmlns:a14="http://schemas.microsoft.com/office/drawing/2010/main" val="0"/>
                        </a:ext>
                      </a:extLst>
                    </a:blip>
                    <a:stretch>
                      <a:fillRect/>
                    </a:stretch>
                  </pic:blipFill>
                  <pic:spPr>
                    <a:xfrm>
                      <a:off x="0" y="0"/>
                      <a:ext cx="556890" cy="685800"/>
                    </a:xfrm>
                    <a:prstGeom prst="rect">
                      <a:avLst/>
                    </a:prstGeom>
                  </pic:spPr>
                </pic:pic>
              </a:graphicData>
            </a:graphic>
          </wp:anchor>
        </w:drawing>
      </w:r>
    </w:p>
    <w:p w:rsidR="00C151CF" w:rsidRDefault="00BA597D" w:rsidP="00BA597D">
      <w:pPr>
        <w:tabs>
          <w:tab w:val="left" w:pos="1095"/>
        </w:tabs>
        <w:spacing w:after="0"/>
        <w:rPr>
          <w:rFonts w:ascii="Franklin Gothic Book" w:hAnsi="Franklin Gothic Book"/>
          <w:b/>
          <w:color w:val="000040"/>
          <w:sz w:val="40"/>
          <w:szCs w:val="40"/>
        </w:rPr>
      </w:pPr>
      <w:r>
        <w:rPr>
          <w:rFonts w:ascii="Franklin Gothic Book" w:hAnsi="Franklin Gothic Book"/>
          <w:b/>
          <w:color w:val="000040"/>
          <w:sz w:val="40"/>
          <w:szCs w:val="40"/>
        </w:rPr>
        <w:tab/>
      </w:r>
      <w:bookmarkStart w:id="0" w:name="_GoBack"/>
      <w:bookmarkEnd w:id="0"/>
    </w:p>
    <w:p w:rsidR="00C151CF" w:rsidRDefault="00C151CF">
      <w:pPr>
        <w:spacing w:after="0"/>
        <w:jc w:val="center"/>
        <w:rPr>
          <w:rFonts w:ascii="Franklin Gothic Book" w:hAnsi="Franklin Gothic Book"/>
          <w:b/>
          <w:color w:val="000040"/>
          <w:sz w:val="40"/>
          <w:szCs w:val="40"/>
        </w:rPr>
      </w:pPr>
    </w:p>
    <w:p w:rsidR="00023633" w:rsidRPr="001F691E" w:rsidRDefault="001F691E">
      <w:pPr>
        <w:spacing w:after="0"/>
        <w:jc w:val="center"/>
        <w:rPr>
          <w:rFonts w:ascii="Franklin Gothic Book" w:hAnsi="Franklin Gothic Book"/>
          <w:color w:val="000040"/>
          <w:sz w:val="40"/>
          <w:szCs w:val="40"/>
        </w:rPr>
      </w:pPr>
      <w:r>
        <w:rPr>
          <w:rFonts w:ascii="Franklin Gothic Book" w:hAnsi="Franklin Gothic Book"/>
          <w:b/>
          <w:color w:val="000040"/>
          <w:sz w:val="40"/>
          <w:szCs w:val="40"/>
        </w:rPr>
        <w:t>Instructions pour la vidange</w:t>
      </w:r>
    </w:p>
    <w:p w:rsidR="00023633" w:rsidRPr="001F691E" w:rsidRDefault="00975559">
      <w:pPr>
        <w:spacing w:after="0"/>
        <w:jc w:val="center"/>
        <w:rPr>
          <w:rFonts w:ascii="Franklin Gothic Book" w:hAnsi="Franklin Gothic Book"/>
        </w:rPr>
      </w:pPr>
      <w:r w:rsidRPr="001F691E">
        <w:rPr>
          <w:rFonts w:ascii="Franklin Gothic Book" w:hAnsi="Franklin Gothic Book"/>
          <w:b/>
          <w:color w:val="000040"/>
          <w:sz w:val="40"/>
          <w:szCs w:val="40"/>
        </w:rPr>
        <w:t>et le nettoyage des piscines démontables</w:t>
      </w:r>
    </w:p>
    <w:p w:rsidR="00023633" w:rsidRPr="001F691E" w:rsidRDefault="00975559">
      <w:pPr>
        <w:spacing w:after="0"/>
        <w:jc w:val="center"/>
        <w:rPr>
          <w:rFonts w:ascii="Franklin Gothic Book" w:hAnsi="Franklin Gothic Book"/>
        </w:rPr>
      </w:pPr>
      <w:r w:rsidRPr="001F691E">
        <w:rPr>
          <w:rFonts w:ascii="Franklin Gothic Book" w:hAnsi="Franklin Gothic Book"/>
          <w:b/>
          <w:color w:val="000040"/>
          <w:sz w:val="40"/>
          <w:szCs w:val="40"/>
        </w:rPr>
        <w:t>et des jacuzzis</w:t>
      </w:r>
    </w:p>
    <w:p w:rsidR="00023633" w:rsidRPr="001F691E" w:rsidRDefault="00975559">
      <w:pPr>
        <w:spacing w:after="0"/>
        <w:jc w:val="center"/>
        <w:rPr>
          <w:rFonts w:ascii="Franklin Gothic Book" w:hAnsi="Franklin Gothic Book"/>
          <w:color w:val="000040"/>
        </w:rPr>
      </w:pPr>
      <w:r w:rsidRPr="001F691E">
        <w:rPr>
          <w:rFonts w:ascii="Franklin Gothic Book" w:hAnsi="Franklin Gothic Book"/>
          <w:color w:val="000040"/>
        </w:rPr>
        <w:t xml:space="preserve">         (résumé des directives cantonales DCPE 501 en annexe)</w:t>
      </w:r>
    </w:p>
    <w:p w:rsidR="00023633" w:rsidRPr="001F691E" w:rsidRDefault="00023633">
      <w:pPr>
        <w:spacing w:after="0"/>
        <w:jc w:val="center"/>
        <w:rPr>
          <w:rFonts w:ascii="Franklin Gothic Book" w:hAnsi="Franklin Gothic Book"/>
          <w:b/>
          <w:sz w:val="32"/>
        </w:rPr>
      </w:pPr>
    </w:p>
    <w:p w:rsidR="00023633" w:rsidRPr="001F691E" w:rsidRDefault="00023633">
      <w:pPr>
        <w:spacing w:after="0"/>
        <w:jc w:val="center"/>
        <w:rPr>
          <w:rFonts w:ascii="Franklin Gothic Book" w:hAnsi="Franklin Gothic Book" w:cs="Microsoft Sans Serif"/>
        </w:rPr>
      </w:pPr>
    </w:p>
    <w:p w:rsidR="00023633" w:rsidRPr="001F691E" w:rsidRDefault="00975559">
      <w:pPr>
        <w:rPr>
          <w:rFonts w:ascii="Franklin Gothic Book" w:hAnsi="Franklin Gothic Book"/>
        </w:rPr>
      </w:pPr>
      <w:r w:rsidRPr="001F691E">
        <w:rPr>
          <w:rFonts w:ascii="Franklin Gothic Book" w:hAnsi="Franklin Gothic Book" w:cs="Microsoft Sans Serif"/>
        </w:rPr>
        <w:t>La vidange et le nettoyage des piscines doivent obéir à quelques règles simples afin d’éviter d’éventuelles pollutions des eaux et/ou l’arrivée d’eau claire propre à la station d’épuration :</w:t>
      </w:r>
    </w:p>
    <w:p w:rsidR="00023633" w:rsidRPr="001F691E" w:rsidRDefault="00975559">
      <w:pPr>
        <w:pStyle w:val="Paragraphedeliste"/>
        <w:numPr>
          <w:ilvl w:val="0"/>
          <w:numId w:val="1"/>
        </w:numPr>
        <w:spacing w:after="120"/>
        <w:ind w:left="714" w:hanging="357"/>
        <w:jc w:val="both"/>
        <w:rPr>
          <w:rFonts w:ascii="Franklin Gothic Book" w:hAnsi="Franklin Gothic Book"/>
        </w:rPr>
      </w:pPr>
      <w:r w:rsidRPr="001F691E">
        <w:rPr>
          <w:rFonts w:ascii="Franklin Gothic Book" w:hAnsi="Franklin Gothic Book" w:cs="Microsoft Sans Serif"/>
          <w:b/>
        </w:rPr>
        <w:t xml:space="preserve">Vidange des piscines : après </w:t>
      </w:r>
      <w:proofErr w:type="spellStart"/>
      <w:r w:rsidRPr="001F691E">
        <w:rPr>
          <w:rFonts w:ascii="Franklin Gothic Book" w:hAnsi="Franklin Gothic Book" w:cs="Microsoft Sans Serif"/>
          <w:b/>
        </w:rPr>
        <w:t>déchloration</w:t>
      </w:r>
      <w:proofErr w:type="spellEnd"/>
      <w:r w:rsidRPr="001F691E">
        <w:rPr>
          <w:rFonts w:ascii="Franklin Gothic Book" w:hAnsi="Franklin Gothic Book" w:cs="Microsoft Sans Serif"/>
        </w:rPr>
        <w:t xml:space="preserve">, l’eau est utilisée prioritairement pour l’arrosage, ou évacuée dans les </w:t>
      </w:r>
      <w:r w:rsidRPr="001F691E">
        <w:rPr>
          <w:rFonts w:ascii="Franklin Gothic Book" w:hAnsi="Franklin Gothic Book" w:cs="Microsoft Sans Serif"/>
          <w:b/>
        </w:rPr>
        <w:t>eaux claires</w:t>
      </w:r>
      <w:r w:rsidRPr="001F691E">
        <w:rPr>
          <w:rFonts w:ascii="Franklin Gothic Book" w:hAnsi="Franklin Gothic Book" w:cs="Microsoft Sans Serif"/>
        </w:rPr>
        <w:t xml:space="preserve"> (collecteur eaux claires ou tranchée d’infiltration si les conditions hydrogéologiques le permettent).</w:t>
      </w:r>
    </w:p>
    <w:p w:rsidR="00023633" w:rsidRPr="001F691E" w:rsidRDefault="00975559">
      <w:pPr>
        <w:pStyle w:val="Paragraphedeliste"/>
        <w:spacing w:after="120"/>
        <w:jc w:val="both"/>
        <w:rPr>
          <w:rFonts w:ascii="Franklin Gothic Book" w:hAnsi="Franklin Gothic Book"/>
        </w:rPr>
      </w:pPr>
      <w:r w:rsidRPr="001F691E">
        <w:rPr>
          <w:rFonts w:ascii="Franklin Gothic Book" w:hAnsi="Franklin Gothic Book" w:cs="Microsoft Sans Serif"/>
        </w:rPr>
        <w:t>Il est strictement interdit de déverser des eaux contenant du chlore dans les eaux claires car ce produit est très toxique pour la faune piscicole.</w:t>
      </w:r>
    </w:p>
    <w:p w:rsidR="00023633" w:rsidRPr="001F691E" w:rsidRDefault="00975559">
      <w:pPr>
        <w:pStyle w:val="Paragraphedeliste"/>
        <w:spacing w:after="120"/>
        <w:jc w:val="both"/>
        <w:rPr>
          <w:rFonts w:ascii="Franklin Gothic Book" w:hAnsi="Franklin Gothic Book"/>
        </w:rPr>
      </w:pPr>
      <w:r w:rsidRPr="001F691E">
        <w:rPr>
          <w:rFonts w:ascii="Franklin Gothic Book" w:hAnsi="Franklin Gothic Book" w:cs="Microsoft Sans Serif"/>
        </w:rPr>
        <w:t xml:space="preserve">La </w:t>
      </w:r>
      <w:proofErr w:type="spellStart"/>
      <w:r w:rsidRPr="001F691E">
        <w:rPr>
          <w:rFonts w:ascii="Franklin Gothic Book" w:hAnsi="Franklin Gothic Book" w:cs="Microsoft Sans Serif"/>
        </w:rPr>
        <w:t>déchloration</w:t>
      </w:r>
      <w:proofErr w:type="spellEnd"/>
      <w:r w:rsidRPr="001F691E">
        <w:rPr>
          <w:rFonts w:ascii="Franklin Gothic Book" w:hAnsi="Franklin Gothic Book" w:cs="Microsoft Sans Serif"/>
        </w:rPr>
        <w:t xml:space="preserve"> s’effectue en interrompant le traitement de l’eau pendant au moins 48h. Ce laps de temps varie cependant selon le dosage de chlore utilisé, la température, le pH, etc… Il est donc nécessaire de vérifier la teneur en chlore à l’aide de kits de mesure (réactifs chlorés, languettes) faciles d’emploi et bon marché. La limite admissible pour un déversement dans les eaux claires est fixée à 0,05 mg de chlore par litre (cf. ordonnance fédérale sur le déversement des eaux usées)</w:t>
      </w:r>
    </w:p>
    <w:p w:rsidR="00023633" w:rsidRPr="001F691E" w:rsidRDefault="00023633">
      <w:pPr>
        <w:pStyle w:val="Paragraphedeliste"/>
        <w:spacing w:after="120"/>
        <w:jc w:val="both"/>
        <w:rPr>
          <w:rFonts w:ascii="Franklin Gothic Book" w:hAnsi="Franklin Gothic Book" w:cs="Microsoft Sans Serif"/>
        </w:rPr>
      </w:pPr>
    </w:p>
    <w:p w:rsidR="00023633" w:rsidRPr="001F691E" w:rsidRDefault="00975559">
      <w:pPr>
        <w:pStyle w:val="Paragraphedeliste"/>
        <w:numPr>
          <w:ilvl w:val="0"/>
          <w:numId w:val="1"/>
        </w:numPr>
        <w:spacing w:after="120"/>
        <w:jc w:val="both"/>
        <w:rPr>
          <w:rFonts w:ascii="Franklin Gothic Book" w:hAnsi="Franklin Gothic Book"/>
        </w:rPr>
      </w:pPr>
      <w:r w:rsidRPr="001F691E">
        <w:rPr>
          <w:rFonts w:ascii="Franklin Gothic Book" w:hAnsi="Franklin Gothic Book" w:cs="Microsoft Sans Serif"/>
          <w:b/>
        </w:rPr>
        <w:t>Eaux de lavage et de rinçage des filtres</w:t>
      </w:r>
      <w:r w:rsidRPr="001F691E">
        <w:rPr>
          <w:rFonts w:ascii="Franklin Gothic Book" w:hAnsi="Franklin Gothic Book" w:cs="Microsoft Sans Serif"/>
        </w:rPr>
        <w:t> : les filtres ou cartouches doivent être rincés manuellement et les eaux récoltées déversées dans le collecteur d’</w:t>
      </w:r>
      <w:r w:rsidRPr="001F691E">
        <w:rPr>
          <w:rFonts w:ascii="Franklin Gothic Book" w:hAnsi="Franklin Gothic Book" w:cs="Microsoft Sans Serif"/>
          <w:b/>
        </w:rPr>
        <w:t>eaux usées</w:t>
      </w:r>
      <w:r w:rsidRPr="001F691E">
        <w:rPr>
          <w:rFonts w:ascii="Franklin Gothic Book" w:hAnsi="Franklin Gothic Book" w:cs="Microsoft Sans Serif"/>
        </w:rPr>
        <w:t xml:space="preserve"> (évier par exemple)</w:t>
      </w:r>
    </w:p>
    <w:p w:rsidR="00023633" w:rsidRPr="001F691E" w:rsidRDefault="00023633">
      <w:pPr>
        <w:pStyle w:val="Paragraphedeliste"/>
        <w:spacing w:after="120"/>
        <w:ind w:left="1440"/>
        <w:jc w:val="both"/>
        <w:rPr>
          <w:rFonts w:ascii="Franklin Gothic Book" w:hAnsi="Franklin Gothic Book" w:cs="Microsoft Sans Serif"/>
        </w:rPr>
      </w:pPr>
    </w:p>
    <w:p w:rsidR="00023633" w:rsidRPr="001F691E" w:rsidRDefault="00975559">
      <w:pPr>
        <w:pStyle w:val="Paragraphedeliste"/>
        <w:numPr>
          <w:ilvl w:val="0"/>
          <w:numId w:val="1"/>
        </w:numPr>
        <w:spacing w:after="120"/>
        <w:jc w:val="both"/>
        <w:rPr>
          <w:rFonts w:ascii="Franklin Gothic Book" w:hAnsi="Franklin Gothic Book"/>
        </w:rPr>
      </w:pPr>
      <w:r w:rsidRPr="001F691E">
        <w:rPr>
          <w:rFonts w:ascii="Franklin Gothic Book" w:hAnsi="Franklin Gothic Book" w:cs="Microsoft Sans Serif"/>
          <w:b/>
          <w:bCs/>
        </w:rPr>
        <w:t>Nettoyage des ba</w:t>
      </w:r>
      <w:r w:rsidRPr="001F691E">
        <w:rPr>
          <w:rFonts w:ascii="Franklin Gothic Book" w:hAnsi="Franklin Gothic Book" w:cs="Microsoft Sans Serif"/>
          <w:b/>
        </w:rPr>
        <w:t xml:space="preserve">ssins : </w:t>
      </w:r>
      <w:r w:rsidRPr="001F691E">
        <w:rPr>
          <w:rFonts w:ascii="Franklin Gothic Book" w:hAnsi="Franklin Gothic Book" w:cs="Microsoft Sans Serif"/>
        </w:rPr>
        <w:t>un nettoyage mécanique à l’eau claire, à l’aide d’une brosse ou d’un jet haute pression est préconisé. Les eaux de nettoyage sont à évacuer dans les</w:t>
      </w:r>
      <w:r w:rsidRPr="001F691E">
        <w:rPr>
          <w:rFonts w:ascii="Franklin Gothic Book" w:hAnsi="Franklin Gothic Book" w:cs="Microsoft Sans Serif"/>
          <w:b/>
        </w:rPr>
        <w:t xml:space="preserve"> eaux usées.</w:t>
      </w:r>
    </w:p>
    <w:p w:rsidR="00023633" w:rsidRPr="001F691E" w:rsidRDefault="00023633">
      <w:pPr>
        <w:pStyle w:val="Paragraphedeliste"/>
        <w:spacing w:after="120"/>
        <w:jc w:val="both"/>
        <w:rPr>
          <w:rFonts w:ascii="Franklin Gothic Book" w:hAnsi="Franklin Gothic Book" w:cs="Microsoft Sans Serif"/>
          <w:b/>
        </w:rPr>
      </w:pPr>
    </w:p>
    <w:p w:rsidR="00023633" w:rsidRPr="001F691E" w:rsidRDefault="00023633">
      <w:pPr>
        <w:pStyle w:val="Paragraphedeliste"/>
        <w:spacing w:after="120"/>
        <w:jc w:val="both"/>
        <w:rPr>
          <w:rFonts w:ascii="Franklin Gothic Book" w:hAnsi="Franklin Gothic Book" w:cs="Microsoft Sans Serif"/>
          <w:b/>
        </w:rPr>
      </w:pPr>
    </w:p>
    <w:p w:rsidR="00023633" w:rsidRPr="001F691E" w:rsidRDefault="00023633">
      <w:pPr>
        <w:pStyle w:val="Paragraphedeliste"/>
        <w:spacing w:after="120"/>
        <w:jc w:val="both"/>
        <w:rPr>
          <w:rFonts w:ascii="Franklin Gothic Book" w:hAnsi="Franklin Gothic Book" w:cs="Microsoft Sans Serif"/>
          <w:b/>
        </w:rPr>
      </w:pPr>
    </w:p>
    <w:p w:rsidR="00023633" w:rsidRPr="001F691E" w:rsidRDefault="00023633">
      <w:pPr>
        <w:pStyle w:val="Paragraphedeliste"/>
        <w:spacing w:after="120"/>
        <w:jc w:val="both"/>
        <w:rPr>
          <w:rFonts w:ascii="Franklin Gothic Book" w:hAnsi="Franklin Gothic Book" w:cs="Microsoft Sans Serif"/>
          <w:b/>
        </w:rPr>
      </w:pPr>
    </w:p>
    <w:p w:rsidR="00023633" w:rsidRPr="001F691E" w:rsidRDefault="00023633">
      <w:pPr>
        <w:pStyle w:val="Paragraphedeliste"/>
        <w:spacing w:after="120"/>
        <w:jc w:val="both"/>
        <w:rPr>
          <w:rFonts w:ascii="Franklin Gothic Book" w:hAnsi="Franklin Gothic Book"/>
        </w:rPr>
      </w:pPr>
    </w:p>
    <w:p w:rsidR="00023633" w:rsidRPr="001F691E" w:rsidRDefault="00023633">
      <w:pPr>
        <w:pStyle w:val="Paragraphedeliste"/>
        <w:spacing w:after="120"/>
        <w:jc w:val="both"/>
        <w:rPr>
          <w:rFonts w:ascii="Franklin Gothic Book" w:hAnsi="Franklin Gothic Book"/>
        </w:rPr>
      </w:pPr>
    </w:p>
    <w:p w:rsidR="00023633" w:rsidRPr="001F691E" w:rsidRDefault="00023633">
      <w:pPr>
        <w:pStyle w:val="Paragraphedeliste"/>
        <w:spacing w:after="120"/>
        <w:jc w:val="both"/>
        <w:rPr>
          <w:rFonts w:ascii="Franklin Gothic Book" w:hAnsi="Franklin Gothic Book"/>
        </w:rPr>
      </w:pPr>
    </w:p>
    <w:p w:rsidR="00023633" w:rsidRPr="001F691E" w:rsidRDefault="00023633">
      <w:pPr>
        <w:pStyle w:val="Paragraphedeliste"/>
        <w:spacing w:after="120"/>
        <w:jc w:val="both"/>
        <w:rPr>
          <w:rFonts w:ascii="Franklin Gothic Book" w:hAnsi="Franklin Gothic Book"/>
        </w:rPr>
      </w:pPr>
    </w:p>
    <w:p w:rsidR="00023633" w:rsidRPr="001F691E" w:rsidRDefault="00023633">
      <w:pPr>
        <w:pStyle w:val="Paragraphedeliste"/>
        <w:spacing w:after="120"/>
        <w:jc w:val="both"/>
        <w:rPr>
          <w:rFonts w:ascii="Franklin Gothic Book" w:hAnsi="Franklin Gothic Book"/>
        </w:rPr>
      </w:pPr>
    </w:p>
    <w:p w:rsidR="00023633" w:rsidRPr="001F691E" w:rsidRDefault="00975559">
      <w:pPr>
        <w:pStyle w:val="Paragraphedeliste"/>
        <w:spacing w:after="120"/>
        <w:jc w:val="right"/>
        <w:rPr>
          <w:rFonts w:ascii="Franklin Gothic Book" w:hAnsi="Franklin Gothic Book"/>
        </w:rPr>
      </w:pPr>
      <w:r w:rsidRPr="001F691E">
        <w:rPr>
          <w:rFonts w:ascii="Franklin Gothic Book" w:hAnsi="Franklin Gothic Book"/>
        </w:rPr>
        <w:t>Ferreyres, 15.08.2017</w:t>
      </w:r>
    </w:p>
    <w:sectPr w:rsidR="00023633" w:rsidRPr="001F691E">
      <w:pgSz w:w="11906" w:h="16838"/>
      <w:pgMar w:top="1417" w:right="1417" w:bottom="1417" w:left="1417" w:header="0" w:footer="0" w:gutter="0"/>
      <w:cols w:space="720"/>
      <w:formProt w:val="0"/>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ans">
    <w:altName w:val="Arial"/>
    <w:charset w:val="00"/>
    <w:family w:val="roman"/>
    <w:pitch w:val="variable"/>
  </w:font>
  <w:font w:name="Microsoft YaHei">
    <w:panose1 w:val="020B0503020204020204"/>
    <w:charset w:val="86"/>
    <w:family w:val="swiss"/>
    <w:pitch w:val="variable"/>
    <w:sig w:usb0="A0000287" w:usb1="28CF3C52" w:usb2="00000016" w:usb3="00000000" w:csb0="0004001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Microsoft Sans Serif">
    <w:panose1 w:val="020B0604020202020204"/>
    <w:charset w:val="00"/>
    <w:family w:val="swiss"/>
    <w:pitch w:val="variable"/>
    <w:sig w:usb0="E1002AFF" w:usb1="C0000002"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C40132"/>
    <w:multiLevelType w:val="multilevel"/>
    <w:tmpl w:val="094047F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727B2EE1"/>
    <w:multiLevelType w:val="multilevel"/>
    <w:tmpl w:val="492C883A"/>
    <w:lvl w:ilvl="0">
      <w:start w:val="1"/>
      <w:numFmt w:val="bullet"/>
      <w:lvlText w:val="-"/>
      <w:lvlJc w:val="left"/>
      <w:pPr>
        <w:ind w:left="720" w:hanging="360"/>
      </w:pPr>
      <w:rPr>
        <w:rFonts w:ascii="Calibri" w:hAnsi="Calibri" w:cs="Calibri"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3633"/>
    <w:rsid w:val="00023633"/>
    <w:rsid w:val="001F691E"/>
    <w:rsid w:val="00975559"/>
    <w:rsid w:val="00BA597D"/>
    <w:rsid w:val="00C151CF"/>
  </w:rsids>
  <m:mathPr>
    <m:mathFont m:val="Cambria Math"/>
    <m:brkBin m:val="before"/>
    <m:brkBinSub m:val="--"/>
    <m:smallFrac m:val="0"/>
    <m:dispDef/>
    <m:lMargin m:val="0"/>
    <m:rMargin m:val="0"/>
    <m:defJc m:val="centerGroup"/>
    <m:wrapIndent m:val="1440"/>
    <m:intLim m:val="subSup"/>
    <m:naryLim m:val="undOvr"/>
  </m:mathPr>
  <w:themeFontLang w:val="fr-CH"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AF0476-5BCC-4BB0-AEC3-F17E58CD3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fr-CH"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color w:val="00000A"/>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ListLabel1">
    <w:name w:val="ListLabel 1"/>
    <w:qFormat/>
    <w:rPr>
      <w:rFonts w:eastAsia="Calibri"/>
      <w:b/>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b/>
    </w:rPr>
  </w:style>
  <w:style w:type="character" w:customStyle="1" w:styleId="ListLabel6">
    <w:name w:val="ListLabel 6"/>
    <w:qFormat/>
    <w:rPr>
      <w:rFonts w:cs="Courier New"/>
    </w:rPr>
  </w:style>
  <w:style w:type="character" w:customStyle="1" w:styleId="ListLabel7">
    <w:name w:val="ListLabel 7"/>
    <w:qFormat/>
    <w:rPr>
      <w:rFonts w:cs="Wingdings"/>
    </w:rPr>
  </w:style>
  <w:style w:type="character" w:customStyle="1" w:styleId="ListLabel8">
    <w:name w:val="ListLabel 8"/>
    <w:qFormat/>
    <w:rPr>
      <w:rFonts w:cs="Symbol"/>
    </w:rPr>
  </w:style>
  <w:style w:type="character" w:customStyle="1" w:styleId="ListLabel9">
    <w:name w:val="ListLabel 9"/>
    <w:qFormat/>
    <w:rPr>
      <w:rFonts w:cs="Courier New"/>
    </w:rPr>
  </w:style>
  <w:style w:type="character" w:customStyle="1" w:styleId="ListLabel10">
    <w:name w:val="ListLabel 10"/>
    <w:qFormat/>
    <w:rPr>
      <w:rFonts w:cs="Wingdings"/>
    </w:rPr>
  </w:style>
  <w:style w:type="character" w:customStyle="1" w:styleId="ListLabel11">
    <w:name w:val="ListLabel 11"/>
    <w:qFormat/>
    <w:rPr>
      <w:rFonts w:cs="Symbol"/>
    </w:rPr>
  </w:style>
  <w:style w:type="character" w:customStyle="1" w:styleId="ListLabel12">
    <w:name w:val="ListLabel 12"/>
    <w:qFormat/>
    <w:rPr>
      <w:rFonts w:cs="Courier New"/>
    </w:rPr>
  </w:style>
  <w:style w:type="character" w:customStyle="1" w:styleId="ListLabel13">
    <w:name w:val="ListLabel 13"/>
    <w:qFormat/>
    <w:rPr>
      <w:rFonts w:cs="Wingdings"/>
    </w:rPr>
  </w:style>
  <w:style w:type="character" w:customStyle="1" w:styleId="ListLabel14">
    <w:name w:val="ListLabel 14"/>
    <w:qFormat/>
    <w:rPr>
      <w:rFonts w:cs="Symbol"/>
      <w:b w:val="0"/>
    </w:rPr>
  </w:style>
  <w:style w:type="character" w:customStyle="1" w:styleId="ListLabel15">
    <w:name w:val="ListLabel 15"/>
    <w:qFormat/>
    <w:rPr>
      <w:b/>
    </w:rPr>
  </w:style>
  <w:style w:type="character" w:customStyle="1" w:styleId="ListLabel16">
    <w:name w:val="ListLabel 16"/>
    <w:qFormat/>
    <w:rPr>
      <w:rFonts w:cs="Wingdings"/>
    </w:rPr>
  </w:style>
  <w:style w:type="character" w:customStyle="1" w:styleId="ListLabel17">
    <w:name w:val="ListLabel 17"/>
    <w:qFormat/>
    <w:rPr>
      <w:rFonts w:cs="Symbol"/>
    </w:rPr>
  </w:style>
  <w:style w:type="character" w:customStyle="1" w:styleId="ListLabel18">
    <w:name w:val="ListLabel 18"/>
    <w:qFormat/>
    <w:rPr>
      <w:rFonts w:cs="Courier New"/>
    </w:rPr>
  </w:style>
  <w:style w:type="character" w:customStyle="1" w:styleId="ListLabel19">
    <w:name w:val="ListLabel 19"/>
    <w:qFormat/>
    <w:rPr>
      <w:rFonts w:cs="Wingdings"/>
    </w:rPr>
  </w:style>
  <w:style w:type="character" w:customStyle="1" w:styleId="ListLabel20">
    <w:name w:val="ListLabel 20"/>
    <w:qFormat/>
    <w:rPr>
      <w:rFonts w:cs="Symbol"/>
    </w:rPr>
  </w:style>
  <w:style w:type="character" w:customStyle="1" w:styleId="ListLabel21">
    <w:name w:val="ListLabel 21"/>
    <w:qFormat/>
    <w:rPr>
      <w:rFonts w:cs="Courier New"/>
    </w:rPr>
  </w:style>
  <w:style w:type="character" w:customStyle="1" w:styleId="ListLabel22">
    <w:name w:val="ListLabel 22"/>
    <w:qFormat/>
    <w:rPr>
      <w:rFonts w:cs="Wingdings"/>
    </w:rPr>
  </w:style>
  <w:style w:type="character" w:customStyle="1" w:styleId="ListLabel23">
    <w:name w:val="ListLabel 23"/>
    <w:qFormat/>
    <w:rPr>
      <w:b/>
    </w:rPr>
  </w:style>
  <w:style w:type="character" w:customStyle="1" w:styleId="ListLabel24">
    <w:name w:val="ListLabel 24"/>
    <w:qFormat/>
    <w:rPr>
      <w:rFonts w:cs="Courier New"/>
    </w:rPr>
  </w:style>
  <w:style w:type="character" w:customStyle="1" w:styleId="ListLabel25">
    <w:name w:val="ListLabel 25"/>
    <w:qFormat/>
    <w:rPr>
      <w:rFonts w:cs="Wingdings"/>
    </w:rPr>
  </w:style>
  <w:style w:type="character" w:customStyle="1" w:styleId="ListLabel26">
    <w:name w:val="ListLabel 26"/>
    <w:qFormat/>
    <w:rPr>
      <w:rFonts w:cs="Symbol"/>
    </w:rPr>
  </w:style>
  <w:style w:type="character" w:customStyle="1" w:styleId="ListLabel27">
    <w:name w:val="ListLabel 27"/>
    <w:qFormat/>
    <w:rPr>
      <w:rFonts w:cs="Courier New"/>
    </w:rPr>
  </w:style>
  <w:style w:type="character" w:customStyle="1" w:styleId="ListLabel28">
    <w:name w:val="ListLabel 28"/>
    <w:qFormat/>
    <w:rPr>
      <w:rFonts w:cs="Wingdings"/>
    </w:rPr>
  </w:style>
  <w:style w:type="character" w:customStyle="1" w:styleId="ListLabel29">
    <w:name w:val="ListLabel 29"/>
    <w:qFormat/>
    <w:rPr>
      <w:rFonts w:cs="Symbol"/>
    </w:rPr>
  </w:style>
  <w:style w:type="character" w:customStyle="1" w:styleId="ListLabel30">
    <w:name w:val="ListLabel 30"/>
    <w:qFormat/>
    <w:rPr>
      <w:rFonts w:cs="Courier New"/>
    </w:rPr>
  </w:style>
  <w:style w:type="character" w:customStyle="1" w:styleId="ListLabel31">
    <w:name w:val="ListLabel 31"/>
    <w:qFormat/>
    <w:rPr>
      <w:rFonts w:cs="Wingdings"/>
    </w:rPr>
  </w:style>
  <w:style w:type="character" w:customStyle="1" w:styleId="ListLabel32">
    <w:name w:val="ListLabel 32"/>
    <w:qFormat/>
    <w:rPr>
      <w:b/>
    </w:rPr>
  </w:style>
  <w:style w:type="character" w:customStyle="1" w:styleId="ListLabel33">
    <w:name w:val="ListLabel 33"/>
    <w:qFormat/>
    <w:rPr>
      <w:rFonts w:cs="Courier New"/>
    </w:rPr>
  </w:style>
  <w:style w:type="character" w:customStyle="1" w:styleId="ListLabel34">
    <w:name w:val="ListLabel 34"/>
    <w:qFormat/>
    <w:rPr>
      <w:rFonts w:cs="Wingdings"/>
    </w:rPr>
  </w:style>
  <w:style w:type="character" w:customStyle="1" w:styleId="ListLabel35">
    <w:name w:val="ListLabel 35"/>
    <w:qFormat/>
    <w:rPr>
      <w:rFonts w:cs="Symbol"/>
    </w:rPr>
  </w:style>
  <w:style w:type="character" w:customStyle="1" w:styleId="ListLabel36">
    <w:name w:val="ListLabel 36"/>
    <w:qFormat/>
    <w:rPr>
      <w:rFonts w:cs="Courier New"/>
    </w:rPr>
  </w:style>
  <w:style w:type="character" w:customStyle="1" w:styleId="ListLabel37">
    <w:name w:val="ListLabel 37"/>
    <w:qFormat/>
    <w:rPr>
      <w:rFonts w:cs="Wingdings"/>
    </w:rPr>
  </w:style>
  <w:style w:type="character" w:customStyle="1" w:styleId="ListLabel38">
    <w:name w:val="ListLabel 38"/>
    <w:qFormat/>
    <w:rPr>
      <w:rFonts w:cs="Symbol"/>
    </w:rPr>
  </w:style>
  <w:style w:type="character" w:customStyle="1" w:styleId="ListLabel39">
    <w:name w:val="ListLabel 39"/>
    <w:qFormat/>
    <w:rPr>
      <w:rFonts w:cs="Courier New"/>
    </w:rPr>
  </w:style>
  <w:style w:type="character" w:customStyle="1" w:styleId="ListLabel40">
    <w:name w:val="ListLabel 40"/>
    <w:qFormat/>
    <w:rPr>
      <w:rFonts w:cs="Wingdings"/>
    </w:rPr>
  </w:style>
  <w:style w:type="paragraph" w:styleId="Titre">
    <w:name w:val="Title"/>
    <w:basedOn w:val="Normal"/>
    <w:next w:val="Corpsdetexte"/>
    <w:qFormat/>
    <w:pPr>
      <w:keepNext/>
      <w:spacing w:before="240" w:after="120"/>
    </w:pPr>
    <w:rPr>
      <w:rFonts w:ascii="Liberation Sans" w:eastAsia="Microsoft YaHei" w:hAnsi="Liberation Sans" w:cs="Arial"/>
      <w:sz w:val="28"/>
      <w:szCs w:val="28"/>
    </w:rPr>
  </w:style>
  <w:style w:type="paragraph" w:styleId="Corpsdetexte">
    <w:name w:val="Body Text"/>
    <w:basedOn w:val="Normal"/>
    <w:pPr>
      <w:spacing w:after="140" w:line="288" w:lineRule="auto"/>
    </w:pPr>
  </w:style>
  <w:style w:type="paragraph" w:styleId="Liste">
    <w:name w:val="List"/>
    <w:basedOn w:val="Corpsdetexte"/>
    <w:rPr>
      <w:rFonts w:cs="Arial"/>
    </w:rPr>
  </w:style>
  <w:style w:type="paragraph" w:styleId="Lgende">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Paragraphedeliste">
    <w:name w:val="List Paragraph"/>
    <w:basedOn w:val="Normal"/>
    <w:uiPriority w:val="34"/>
    <w:qFormat/>
    <w:rsid w:val="004E15F1"/>
    <w:pPr>
      <w:ind w:left="720"/>
      <w:contextualSpacing/>
    </w:pPr>
  </w:style>
  <w:style w:type="paragraph" w:customStyle="1" w:styleId="Default">
    <w:name w:val="Default"/>
    <w:qFormat/>
    <w:rsid w:val="007F6401"/>
    <w:rPr>
      <w:rFonts w:ascii="Arial" w:eastAsia="Calibri" w:hAnsi="Arial" w:cs="Arial"/>
      <w:color w:val="000000"/>
      <w:sz w:val="24"/>
      <w:szCs w:val="24"/>
    </w:rPr>
  </w:style>
  <w:style w:type="paragraph" w:customStyle="1" w:styleId="Contenudetableau">
    <w:name w:val="Contenu de tableau"/>
    <w:basedOn w:val="Normal"/>
    <w:qFormat/>
  </w:style>
  <w:style w:type="paragraph" w:customStyle="1" w:styleId="Titredetableau">
    <w:name w:val="Titre de tableau"/>
    <w:basedOn w:val="Contenudetableau"/>
    <w:qFormat/>
  </w:style>
  <w:style w:type="table" w:styleId="Grilledutableau">
    <w:name w:val="Table Grid"/>
    <w:basedOn w:val="TableauNormal"/>
    <w:uiPriority w:val="59"/>
    <w:rsid w:val="004E15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C151CF"/>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151CF"/>
    <w:rPr>
      <w:rFonts w:ascii="Segoe UI" w:hAnsi="Segoe UI" w:cs="Segoe UI"/>
      <w:color w:val="00000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249</Words>
  <Characters>1373</Characters>
  <Application>Microsoft Office Word</Application>
  <DocSecurity>0</DocSecurity>
  <Lines>11</Lines>
  <Paragraphs>3</Paragraphs>
  <ScaleCrop>false</ScaleCrop>
  <Company/>
  <LinksUpToDate>false</LinksUpToDate>
  <CharactersWithSpaces>1619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Nicolas de Rham</dc:creator>
  <dc:description/>
  <cp:lastModifiedBy>AFFOLTER Mary-Claire</cp:lastModifiedBy>
  <cp:revision>5</cp:revision>
  <cp:lastPrinted>2017-08-23T09:01:00Z</cp:lastPrinted>
  <dcterms:created xsi:type="dcterms:W3CDTF">2017-08-23T07:29:00Z</dcterms:created>
  <dcterms:modified xsi:type="dcterms:W3CDTF">2024-03-08T10:34:00Z</dcterms:modified>
  <dc:language>fr-CH</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